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sz w:val="32"/>
          <w:szCs w:val="32"/>
        </w:rPr>
      </w:pPr>
      <w:r>
        <w:rPr>
          <w:rFonts w:hint="eastAsia" w:ascii="黑体" w:hAnsi="宋体" w:eastAsia="黑体"/>
          <w:b/>
          <w:sz w:val="32"/>
          <w:szCs w:val="32"/>
        </w:rPr>
        <w:t>中国科技通讯（NEWSLETTER）</w:t>
      </w:r>
    </w:p>
    <w:p>
      <w:pPr>
        <w:spacing w:line="360" w:lineRule="auto"/>
        <w:jc w:val="center"/>
        <w:rPr>
          <w:rFonts w:ascii="黑体" w:hAnsi="宋体" w:eastAsia="黑体"/>
          <w:b/>
          <w:sz w:val="32"/>
          <w:szCs w:val="32"/>
        </w:rPr>
      </w:pPr>
      <w:r>
        <w:rPr>
          <w:rFonts w:hint="eastAsia" w:ascii="黑体" w:hAnsi="宋体" w:eastAsia="黑体"/>
          <w:b/>
          <w:sz w:val="32"/>
          <w:szCs w:val="32"/>
        </w:rPr>
        <w:t>NO.</w:t>
      </w:r>
      <w:r>
        <w:rPr>
          <w:rFonts w:ascii="黑体" w:hAnsi="宋体" w:eastAsia="黑体"/>
          <w:b/>
          <w:sz w:val="32"/>
          <w:szCs w:val="32"/>
        </w:rPr>
        <w:t>4</w:t>
      </w:r>
    </w:p>
    <w:p>
      <w:pPr>
        <w:pStyle w:val="20"/>
        <w:spacing w:after="120"/>
        <w:jc w:val="center"/>
        <w:rPr>
          <w:rFonts w:ascii="黑体" w:hAnsi="宋体" w:eastAsia="黑体"/>
          <w:b w:val="0"/>
          <w:sz w:val="32"/>
          <w:szCs w:val="32"/>
        </w:rPr>
      </w:pPr>
      <w:r>
        <w:rPr>
          <w:rFonts w:ascii="黑体" w:hAnsi="宋体" w:eastAsia="黑体"/>
          <w:b w:val="0"/>
          <w:sz w:val="32"/>
          <w:szCs w:val="32"/>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17145</wp:posOffset>
                </wp:positionV>
                <wp:extent cx="5400675" cy="0"/>
                <wp:effectExtent l="19050" t="19050" r="19050" b="19050"/>
                <wp:wrapNone/>
                <wp:docPr id="2" name="AutoShape 4"/>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wps:spPr>
                      <wps:bodyPr/>
                    </wps:wsp>
                  </a:graphicData>
                </a:graphic>
              </wp:anchor>
            </w:drawing>
          </mc:Choice>
          <mc:Fallback>
            <w:pict>
              <v:shape id="AutoShape 4" o:spid="_x0000_s1026" o:spt="32" type="#_x0000_t32" style="position:absolute;left:0pt;margin-left:-3pt;margin-top:1.35pt;height:0pt;width:425.25pt;z-index:251659264;mso-width-relative:page;mso-height-relative:page;" filled="f" stroked="t" coordsize="21600,21600"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2DRgywEAAIkDAAAOAAAAAAAAAAEAIAAAACUBAABk&#10;cnMvZTJvRG9jLnhtbFBLBQYAAAAABgAGAFkBAABiBQAAAAA=&#10;">
                <v:fill on="f" focussize="0,0"/>
                <v:stroke weight="2.25pt" color="#000000" joinstyle="round" dashstyle="1 1" endcap="round"/>
                <v:imagedata o:title=""/>
                <o:lock v:ext="edit" aspectratio="f"/>
              </v:shape>
            </w:pict>
          </mc:Fallback>
        </mc:AlternateContent>
      </w:r>
      <w:r>
        <w:rPr>
          <w:rFonts w:ascii="黑体" w:hAnsi="宋体" w:eastAsia="黑体"/>
          <w:b w:val="0"/>
          <w:sz w:val="32"/>
          <w:szCs w:val="32"/>
        </w:rPr>
        <w:t>目录</w:t>
      </w:r>
    </w:p>
    <w:p>
      <w:pPr>
        <w:pStyle w:val="22"/>
        <w:numPr>
          <w:ilvl w:val="0"/>
          <w:numId w:val="1"/>
        </w:numPr>
        <w:ind w:firstLineChars="0"/>
        <w:rPr>
          <w:b/>
          <w:sz w:val="28"/>
          <w:szCs w:val="28"/>
        </w:rPr>
      </w:pPr>
      <w:r>
        <w:rPr>
          <w:rFonts w:hint="eastAsia"/>
          <w:b/>
          <w:sz w:val="28"/>
          <w:szCs w:val="28"/>
        </w:rPr>
        <w:t>国际科技合作动态</w:t>
      </w:r>
    </w:p>
    <w:sdt>
      <w:sdtPr>
        <w:rPr>
          <w:rFonts w:hint="eastAsia" w:hAnsi="Times New Roman" w:cs="Times New Roman" w:asciiTheme="minorHAnsi" w:eastAsiaTheme="minorEastAsia"/>
          <w:color w:val="auto"/>
          <w:sz w:val="21"/>
          <w:szCs w:val="22"/>
        </w:rPr>
        <w:id w:val="12528797"/>
      </w:sdtPr>
      <w:sdtEndPr>
        <w:rPr>
          <w:rFonts w:hint="default" w:ascii="仿宋_GB2312" w:eastAsia="仿宋_GB2312" w:hAnsiTheme="minorHAnsi" w:cstheme="minorBidi"/>
          <w:color w:val="000000" w:themeColor="text1"/>
          <w:sz w:val="28"/>
          <w:szCs w:val="28"/>
          <w14:textFill>
            <w14:solidFill>
              <w14:schemeClr w14:val="tx1"/>
            </w14:solidFill>
          </w14:textFill>
        </w:rPr>
      </w:sdtEndPr>
      <w:sdtContent>
        <w:p>
          <w:pPr>
            <w:pStyle w:val="9"/>
            <w:rPr>
              <w:rFonts w:asciiTheme="minorHAnsi" w:eastAsiaTheme="minorEastAsia"/>
              <w:color w:val="auto"/>
              <w:sz w:val="21"/>
              <w:szCs w:val="22"/>
            </w:rPr>
          </w:pPr>
          <w:r>
            <w:rPr>
              <w:rFonts w:hint="eastAsia" w:hAnsi="Times New Roman" w:cs="Times New Roman"/>
            </w:rPr>
            <w:fldChar w:fldCharType="begin"/>
          </w:r>
          <w:r>
            <w:rPr>
              <w:rFonts w:hint="eastAsia" w:hAnsi="Times New Roman" w:cs="Times New Roman"/>
            </w:rPr>
            <w:instrText xml:space="preserve"> TOC \o "1-3" \n \h \z \u </w:instrText>
          </w:r>
          <w:r>
            <w:rPr>
              <w:rFonts w:hint="eastAsia" w:hAnsi="Times New Roman" w:cs="Times New Roman"/>
            </w:rPr>
            <w:fldChar w:fldCharType="separate"/>
          </w:r>
          <w:r>
            <w:fldChar w:fldCharType="begin"/>
          </w:r>
          <w:r>
            <w:instrText xml:space="preserve"> HYPERLINK \l "_Toc447725189" </w:instrText>
          </w:r>
          <w:r>
            <w:fldChar w:fldCharType="separate"/>
          </w:r>
          <w:r>
            <w:rPr>
              <w:rStyle w:val="14"/>
              <w:rFonts w:hint="eastAsia"/>
            </w:rPr>
            <w:t>食品安全国际合作联合实验室建设启动</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"_Toc447725190" </w:instrText>
          </w:r>
          <w:r>
            <w:fldChar w:fldCharType="separate"/>
          </w:r>
          <w:r>
            <w:rPr>
              <w:rStyle w:val="14"/>
              <w:rFonts w:hint="eastAsia"/>
            </w:rPr>
            <w:t>上海张江—波士顿企业园项目在美启动</w:t>
          </w:r>
          <w:r>
            <w:rPr>
              <w:rStyle w:val="14"/>
              <w:rFonts w:hint="eastAsia"/>
            </w:rPr>
            <w:fldChar w:fldCharType="end"/>
          </w:r>
        </w:p>
        <w:p>
          <w:pPr>
            <w:pStyle w:val="9"/>
            <w:rPr>
              <w:rStyle w:val="14"/>
            </w:rPr>
          </w:pPr>
          <w:r>
            <w:fldChar w:fldCharType="begin"/>
          </w:r>
          <w:r>
            <w:instrText xml:space="preserve"> HYPERLINK \l "_Toc447725191" </w:instrText>
          </w:r>
          <w:r>
            <w:fldChar w:fldCharType="separate"/>
          </w:r>
          <w:r>
            <w:rPr>
              <w:rStyle w:val="14"/>
              <w:rFonts w:hint="eastAsia"/>
            </w:rPr>
            <w:t>面向南亚东南亚</w:t>
          </w:r>
          <w:r>
            <w:rPr>
              <w:rStyle w:val="14"/>
            </w:rPr>
            <w:t xml:space="preserve"> </w:t>
          </w:r>
          <w:r>
            <w:rPr>
              <w:rStyle w:val="14"/>
              <w:rFonts w:hint="eastAsia"/>
            </w:rPr>
            <w:t>科技创新中心建设在云南启动</w:t>
          </w:r>
          <w:r>
            <w:rPr>
              <w:rStyle w:val="14"/>
              <w:rFonts w:hint="eastAsia"/>
            </w:rPr>
            <w:fldChar w:fldCharType="end"/>
          </w:r>
        </w:p>
        <w:p>
          <w:pPr>
            <w:numPr>
              <w:ilvl w:val="0"/>
              <w:numId w:val="1"/>
            </w:numPr>
            <w:rPr>
              <w:b/>
              <w:sz w:val="28"/>
              <w:szCs w:val="28"/>
            </w:rPr>
          </w:pPr>
          <w:r>
            <w:rPr>
              <w:rFonts w:hint="eastAsia"/>
              <w:b/>
              <w:sz w:val="28"/>
              <w:szCs w:val="28"/>
            </w:rPr>
            <w:t>促进科技成果转化</w:t>
          </w:r>
        </w:p>
        <w:p>
          <w:pPr>
            <w:pStyle w:val="9"/>
            <w:rPr>
              <w:rFonts w:asciiTheme="minorHAnsi" w:eastAsiaTheme="minorEastAsia"/>
              <w:color w:val="auto"/>
              <w:sz w:val="21"/>
              <w:szCs w:val="22"/>
            </w:rPr>
          </w:pPr>
          <w:r>
            <w:fldChar w:fldCharType="begin"/>
          </w:r>
          <w:r>
            <w:instrText xml:space="preserve"> HYPERLINK \l "_Toc447725192" </w:instrText>
          </w:r>
          <w:r>
            <w:fldChar w:fldCharType="separate"/>
          </w:r>
          <w:r>
            <w:rPr>
              <w:rStyle w:val="14"/>
              <w:rFonts w:hint="eastAsia"/>
            </w:rPr>
            <w:t>加快发展众创空间</w:t>
          </w:r>
          <w:r>
            <w:rPr>
              <w:rStyle w:val="14"/>
            </w:rPr>
            <w:t xml:space="preserve"> </w:t>
          </w:r>
          <w:r>
            <w:rPr>
              <w:rStyle w:val="14"/>
              <w:rFonts w:hint="eastAsia"/>
            </w:rPr>
            <w:t>服务实体经济转型升级</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"_Toc447725193" </w:instrText>
          </w:r>
          <w:r>
            <w:fldChar w:fldCharType="separate"/>
          </w:r>
          <w:r>
            <w:rPr>
              <w:rStyle w:val="14"/>
              <w:rFonts w:hint="eastAsia"/>
            </w:rPr>
            <w:t>支持科技成果转移转化政策措施确定</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"_Toc447725194" </w:instrText>
          </w:r>
          <w:r>
            <w:fldChar w:fldCharType="separate"/>
          </w:r>
          <w:r>
            <w:rPr>
              <w:rStyle w:val="14"/>
              <w:rFonts w:hint="eastAsia"/>
            </w:rPr>
            <w:t>《中华人民共和国促进科技成果转化法》若干规定印发</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"_Toc447725195" </w:instrText>
          </w:r>
          <w:r>
            <w:fldChar w:fldCharType="separate"/>
          </w:r>
          <w:r>
            <w:rPr>
              <w:rStyle w:val="14"/>
              <w:rFonts w:hint="eastAsia"/>
            </w:rPr>
            <w:t>科技部发布重点科技成果转化推广信息</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"_Toc447725196" </w:instrText>
          </w:r>
          <w:r>
            <w:fldChar w:fldCharType="separate"/>
          </w:r>
          <w:r>
            <w:rPr>
              <w:rStyle w:val="14"/>
              <w:rFonts w:hint="eastAsia"/>
            </w:rPr>
            <w:t>国务院三大举措建设新型创业创新平台</w:t>
          </w:r>
          <w:r>
            <w:rPr>
              <w:rStyle w:val="14"/>
              <w:rFonts w:hint="eastAsia"/>
            </w:rPr>
            <w:fldChar w:fldCharType="end"/>
          </w:r>
        </w:p>
        <w:p>
          <w:pPr>
            <w:pStyle w:val="9"/>
            <w:rPr>
              <w:rFonts w:asciiTheme="minorHAnsi" w:eastAsiaTheme="minorEastAsia"/>
              <w:color w:val="auto"/>
              <w:sz w:val="21"/>
              <w:szCs w:val="22"/>
            </w:rPr>
          </w:pPr>
          <w:r>
            <w:fldChar w:fldCharType="begin"/>
          </w:r>
          <w:r>
            <w:instrText xml:space="preserve"> HYPERLINK \l "_Toc447725197" </w:instrText>
          </w:r>
          <w:r>
            <w:fldChar w:fldCharType="separate"/>
          </w:r>
          <w:r>
            <w:rPr>
              <w:rStyle w:val="14"/>
              <w:rFonts w:hint="eastAsia"/>
            </w:rPr>
            <w:t>国家科技计划管理改革迈出重要一步</w:t>
          </w:r>
          <w:r>
            <w:rPr>
              <w:rStyle w:val="14"/>
              <w:rFonts w:hint="eastAsia"/>
            </w:rPr>
            <w:fldChar w:fldCharType="end"/>
          </w:r>
        </w:p>
        <w:p>
          <w:pPr>
            <w:pStyle w:val="9"/>
          </w:pPr>
          <w:r>
            <w:rPr>
              <w:rFonts w:hint="eastAsia" w:hAnsi="Times New Roman" w:cs="Times New Roman"/>
            </w:rPr>
            <w:fldChar w:fldCharType="end"/>
          </w:r>
        </w:p>
      </w:sdtContent>
    </w:sdt>
    <w:p>
      <w:pPr/>
      <w:r>
        <w:rPr>
          <w:rFonts w:ascii="黑体" w:hAnsi="宋体" w:eastAsia="黑体"/>
          <w:b/>
          <w:sz w:val="32"/>
          <w:szCs w:val="32"/>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17145</wp:posOffset>
                </wp:positionV>
                <wp:extent cx="5400675" cy="0"/>
                <wp:effectExtent l="19050" t="19050" r="19050" b="19050"/>
                <wp:wrapNone/>
                <wp:docPr id="3" name="AutoShape 4"/>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ln>
                      </wps:spPr>
                      <wps:bodyPr/>
                    </wps:wsp>
                  </a:graphicData>
                </a:graphic>
              </wp:anchor>
            </w:drawing>
          </mc:Choice>
          <mc:Fallback>
            <w:pict>
              <v:shape id="AutoShape 4" o:spid="_x0000_s1026" o:spt="32" type="#_x0000_t32" style="position:absolute;left:0pt;margin-left:-3pt;margin-top:1.35pt;height:0pt;width:425.25pt;z-index:251660288;mso-width-relative:page;mso-height-relative:page;" filled="f" stroked="t" coordsize="21600,21600"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YWcXWAAAABgEAAA8AAAAAAAAAAQAgAAAAIgAAAGRycy9k&#10;b3ducmV2LnhtbFBLAQIUABQAAAAIAIdO4kAvQOBzywEAAIkDAAAOAAAAAAAAAAEAIAAAACUBAABk&#10;cnMvZTJvRG9jLnhtbFBLBQYAAAAABgAGAFkBAABiBQAAAAA=&#10;">
                <v:fill on="f" focussize="0,0"/>
                <v:stroke weight="2.25pt" color="#000000" joinstyle="round" dashstyle="1 1" endcap="round"/>
                <v:imagedata o:title=""/>
                <o:lock v:ext="edit" aspectratio="f"/>
              </v:shape>
            </w:pict>
          </mc:Fallback>
        </mc:AlternateContent>
      </w:r>
    </w:p>
    <w:p>
      <w:pPr>
        <w:pStyle w:val="22"/>
        <w:numPr>
          <w:ilvl w:val="0"/>
          <w:numId w:val="1"/>
        </w:numPr>
        <w:ind w:firstLineChars="0"/>
        <w:rPr>
          <w:b/>
          <w:sz w:val="28"/>
          <w:szCs w:val="28"/>
        </w:rPr>
      </w:pPr>
      <w:r>
        <w:rPr>
          <w:rFonts w:hint="eastAsia"/>
          <w:b/>
          <w:sz w:val="28"/>
          <w:szCs w:val="28"/>
        </w:rPr>
        <w:t>国际科技合作动态</w:t>
      </w:r>
    </w:p>
    <w:p>
      <w:pPr>
        <w:pStyle w:val="11"/>
      </w:pPr>
      <w:bookmarkStart w:id="0" w:name="_Toc447725189"/>
      <w:r>
        <w:rPr>
          <w:rFonts w:hint="eastAsia"/>
          <w:bCs w:val="0"/>
        </w:rPr>
        <w:t>食品安全国际合作联合实验室建设启动</w:t>
      </w:r>
      <w:bookmarkEnd w:id="0"/>
    </w:p>
    <w:p>
      <w:pPr>
        <w:spacing w:line="360" w:lineRule="exact"/>
        <w:rPr>
          <w:rStyle w:val="13"/>
          <w:b w:val="0"/>
        </w:rPr>
      </w:pPr>
      <w:r>
        <w:rPr>
          <w:rStyle w:val="13"/>
        </w:rPr>
        <w:tab/>
      </w:r>
      <w:r>
        <w:rPr>
          <w:rStyle w:val="13"/>
          <w:rFonts w:hint="eastAsia"/>
          <w:b w:val="0"/>
        </w:rPr>
        <w:t>近日，教育部下发通知，正式立项启动建设新一批国际合作联合实验室，江南大学“食品安全国际合作联合实验室”列入其中。国务院学位委员会轻工技术与工程学科召集人、江南大学校长认为，建设国际合作联合实验室，通过高层次多元化的国际合作交流，将极大地提升我国食品安全保障水平，同时为保护我国食品产业核心竞争力和国民健康的膳食水平提供核心技术支撑，维护我国出口贸易利益和国家形象，推动中国民族品牌走向世界，为实施“一带一路”战略提供必要支撑；保障人民群众舌尖上的安全、推动食品安全保障体系与国际接轨，实现食品产业从“数量”到“质量”的“互联网+健康”转型和食品安全保障从被动应付型向主动保障型的战略转变。</w:t>
      </w:r>
    </w:p>
    <w:p>
      <w:pPr>
        <w:spacing w:line="360" w:lineRule="exact"/>
        <w:jc w:val="right"/>
        <w:rPr>
          <w:rStyle w:val="13"/>
          <w:b w:val="0"/>
        </w:rPr>
      </w:pPr>
      <w:r>
        <w:rPr>
          <w:rStyle w:val="13"/>
          <w:rFonts w:hint="eastAsia"/>
          <w:b w:val="0"/>
        </w:rPr>
        <w:t>（来源：科技日报，2016年02月22日）</w:t>
      </w:r>
    </w:p>
    <w:p>
      <w:pPr>
        <w:pStyle w:val="11"/>
      </w:pPr>
      <w:bookmarkStart w:id="1" w:name="_Toc447725190"/>
      <w:r>
        <w:rPr>
          <w:rFonts w:hint="eastAsia"/>
        </w:rPr>
        <w:t>上海张江—波士顿企业园项目在美启动</w:t>
      </w:r>
      <w:bookmarkEnd w:id="1"/>
    </w:p>
    <w:p>
      <w:pPr>
        <w:spacing w:line="360" w:lineRule="exact"/>
      </w:pPr>
      <w:r>
        <w:tab/>
      </w:r>
      <w:r>
        <w:rPr>
          <w:rFonts w:hint="eastAsia"/>
        </w:rPr>
        <w:t>当地时间</w:t>
      </w:r>
      <w:r>
        <w:t>2</w:t>
      </w:r>
      <w:r>
        <w:rPr>
          <w:rFonts w:hint="eastAsia"/>
        </w:rPr>
        <w:t>月</w:t>
      </w:r>
      <w:r>
        <w:t>26</w:t>
      </w:r>
      <w:r>
        <w:rPr>
          <w:rFonts w:hint="eastAsia"/>
        </w:rPr>
        <w:t>日下午，上海张江高新区在美国波士顿设立的企业园在美国马萨诸塞州州政府大厅举行开园仪式，标志着上海张江—波士顿企业园项目正式启动。该项目将为中国科技创新和新兴产业的“走出去”和“引进来”提供海外基地，探索中美科技创新合作的新模式。</w:t>
      </w:r>
    </w:p>
    <w:p>
      <w:pPr>
        <w:spacing w:line="360" w:lineRule="exact"/>
      </w:pPr>
      <w:r>
        <w:tab/>
      </w:r>
      <w:r>
        <w:rPr>
          <w:rFonts w:hint="eastAsia"/>
        </w:rPr>
        <w:t>科技部党组书记、副部长王志刚在开园仪式上说，上海张江—波士顿企业园建设不仅符合当前科技进步和产业发展的模式，也符合中美在经济发展方面的创新战略方向。上海和波士顿两个高科技创新中心的强强联合，一定会对两地乃至两国的发展，以及全球科技进步、技术创新、产业提升等方面产生巨大而积极的影响。马萨诸塞州州长查利·贝克在开园仪式上表示，这个新的企业园项目将整合马萨诸塞州和中国的许多优势资源，连接双方企业与投资者，不仅将为马萨诸塞州创造就业和拉动经济增长，也将为双方在研发、创新等领域拓展合作提供良机。</w:t>
      </w:r>
    </w:p>
    <w:p>
      <w:pPr>
        <w:spacing w:line="360" w:lineRule="exact"/>
        <w:jc w:val="right"/>
      </w:pPr>
      <w:r>
        <w:rPr>
          <w:rFonts w:hint="eastAsia"/>
        </w:rPr>
        <w:t>（来源：科技日报，2016年02月28日）</w:t>
      </w:r>
    </w:p>
    <w:p>
      <w:pPr>
        <w:spacing w:line="360" w:lineRule="exact"/>
        <w:rPr>
          <w:rStyle w:val="13"/>
          <w:b w:val="0"/>
        </w:rPr>
      </w:pPr>
    </w:p>
    <w:p>
      <w:pPr>
        <w:pStyle w:val="11"/>
      </w:pPr>
      <w:bookmarkStart w:id="2" w:name="_Toc447725191"/>
      <w:r>
        <w:rPr>
          <w:rFonts w:hint="eastAsia"/>
        </w:rPr>
        <w:t>面向南亚东南亚 科技创新中心建设在云南启动</w:t>
      </w:r>
      <w:bookmarkEnd w:id="2"/>
    </w:p>
    <w:p>
      <w:pPr>
        <w:spacing w:line="360" w:lineRule="exact"/>
        <w:rPr>
          <w:rFonts w:hint="eastAsia"/>
        </w:rPr>
      </w:pPr>
      <w:r>
        <w:tab/>
      </w:r>
      <w:r>
        <w:rPr>
          <w:rFonts w:hint="eastAsia"/>
        </w:rPr>
        <w:t>《中国面向南亚东南亚科技创新中心规划》在云南启动实施，这是云南省全面发挥科技创新服务于国家整体外交、支撑云南主动服务和融入国家“一带一路”、长江经济带战略的具体措施。</w:t>
      </w:r>
      <w:r>
        <w:tab/>
      </w:r>
    </w:p>
    <w:p>
      <w:pPr>
        <w:spacing w:line="360" w:lineRule="exact"/>
        <w:ind w:firstLine="420" w:firstLineChars="200"/>
        <w:rPr>
          <w:rFonts w:hint="eastAsia"/>
        </w:rPr>
      </w:pPr>
      <w:r>
        <w:rPr>
          <w:rFonts w:hint="eastAsia"/>
        </w:rPr>
        <w:t>“十二五”期间，科技部在云南建立的中国—南亚技术转移中心和中国—东盟创新中心，中国—南亚科技伙伴计划也正式启动，并在昆明举办了首届中国—南亚国家科技部长会议、中国—南亚技术转移与创新合作大会、南亚东南亚国家驻西南地区领事官员云南行活动。</w:t>
      </w:r>
    </w:p>
    <w:p>
      <w:pPr>
        <w:spacing w:line="360" w:lineRule="exact"/>
        <w:ind w:firstLine="420" w:firstLineChars="200"/>
      </w:pPr>
      <w:r>
        <w:rPr>
          <w:rFonts w:hint="eastAsia"/>
        </w:rPr>
        <w:t>《规划》提出，到2020年，把云南基本建成中国面向南亚东南亚科技创新中心。</w:t>
      </w:r>
    </w:p>
    <w:p>
      <w:pPr>
        <w:spacing w:line="360" w:lineRule="exact"/>
        <w:jc w:val="right"/>
        <w:rPr>
          <w:rFonts w:hint="eastAsia"/>
        </w:rPr>
      </w:pPr>
      <w:r>
        <w:rPr>
          <w:rFonts w:hint="eastAsia"/>
        </w:rPr>
        <w:t>（来源：科技日报，2016年02月04日）</w:t>
      </w:r>
    </w:p>
    <w:p>
      <w:pPr>
        <w:spacing w:line="360" w:lineRule="exact"/>
        <w:jc w:val="right"/>
      </w:pPr>
    </w:p>
    <w:p>
      <w:pPr>
        <w:pStyle w:val="22"/>
        <w:numPr>
          <w:ilvl w:val="0"/>
          <w:numId w:val="1"/>
        </w:numPr>
        <w:ind w:firstLineChars="0"/>
        <w:rPr>
          <w:b/>
          <w:sz w:val="28"/>
          <w:szCs w:val="28"/>
        </w:rPr>
      </w:pPr>
      <w:r>
        <w:rPr>
          <w:rFonts w:hint="eastAsia"/>
          <w:b/>
          <w:sz w:val="28"/>
          <w:szCs w:val="28"/>
        </w:rPr>
        <w:t>促进科技成果转化</w:t>
      </w:r>
    </w:p>
    <w:p>
      <w:pPr>
        <w:widowControl/>
        <w:shd w:val="clear" w:color="auto" w:fill="FFFFFF"/>
        <w:spacing w:line="360" w:lineRule="exact"/>
        <w:jc w:val="left"/>
        <w:rPr>
          <w:rFonts w:asciiTheme="minorEastAsia" w:hAnsiTheme="minorEastAsia"/>
        </w:rPr>
      </w:pPr>
    </w:p>
    <w:p>
      <w:pPr>
        <w:pStyle w:val="11"/>
        <w:rPr>
          <w:rFonts w:ascii="ˎ̥" w:hAnsi="ˎ̥" w:eastAsia="宋体" w:cs="宋体"/>
          <w:color w:val="2A2A2A"/>
          <w:kern w:val="0"/>
          <w:sz w:val="23"/>
          <w:szCs w:val="23"/>
        </w:rPr>
      </w:pPr>
      <w:bookmarkStart w:id="3" w:name="_Toc447725192"/>
      <w:r>
        <w:rPr>
          <w:rFonts w:hint="eastAsia"/>
        </w:rPr>
        <w:t>加快发展众创空间 服务实体经济转型升级</w:t>
      </w:r>
      <w:bookmarkEnd w:id="3"/>
    </w:p>
    <w:p>
      <w:pPr>
        <w:widowControl/>
        <w:shd w:val="clear" w:color="auto" w:fill="FFFFFF"/>
        <w:spacing w:line="360" w:lineRule="exact"/>
        <w:rPr>
          <w:rFonts w:asciiTheme="minorEastAsia" w:hAnsiTheme="minorEastAsia"/>
        </w:rPr>
      </w:pPr>
      <w:r>
        <w:rPr>
          <w:rFonts w:asciiTheme="minorEastAsia" w:hAnsiTheme="minorEastAsia"/>
        </w:rPr>
        <w:tab/>
      </w:r>
      <w:r>
        <w:rPr>
          <w:rFonts w:hint="eastAsia" w:asciiTheme="minorEastAsia" w:hAnsiTheme="minorEastAsia"/>
        </w:rPr>
        <w:t>为动员科技界创新创业，服务实体经济发展，带动产业转型升级，科技部2月22日上午组织召开了加快发展众创空间服务实体经济转型升级视频会议。国务院副总理刘延东为本次会议作出重要批示，对科技创新促进经济社会发展寄予厚望。科技部部长万钢在会上指出，当前，我国经济发展进入新常态，经济下行压力增大，“稳增长、促改革、调结构、惠民生”任务艰巨，急需更好地发挥科技创新对释放新需求、创造新供给、培育发展新动力的作用。科技部副部长阴和俊介绍了《关于加快众创空间发展服务实体经济发展升级的指导意见》、新修订的《高新技术企业认定管理办法》、《促进科技成果转化法》和研发费用加计扣除政策等主要内容及政策点，相关企业就发展众创空间服务实体经济转型升级作了发言。</w:t>
      </w:r>
    </w:p>
    <w:p>
      <w:pPr>
        <w:widowControl/>
        <w:shd w:val="clear" w:color="auto" w:fill="FFFFFF"/>
        <w:spacing w:line="360" w:lineRule="exact"/>
        <w:rPr>
          <w:rFonts w:asciiTheme="minorEastAsia" w:hAnsiTheme="minorEastAsia"/>
        </w:rPr>
      </w:pPr>
      <w:r>
        <w:rPr>
          <w:rFonts w:asciiTheme="minorEastAsia" w:hAnsiTheme="minorEastAsia"/>
        </w:rPr>
        <w:tab/>
      </w:r>
      <w:r>
        <w:rPr>
          <w:rFonts w:hint="eastAsia" w:asciiTheme="minorEastAsia" w:hAnsiTheme="minorEastAsia"/>
        </w:rPr>
        <w:t>会议强调，采取市场配置创新资源的方式，吸引优质科技资源参与创新创业，推动科技型创新创业的发展，对于当前的稳增长和调结构意义重大。一是有利于实体经济的发展；二是有利于产业转型升级；三是有利于促进企业提质增效；四是有利于促进科技人员创新创业。</w:t>
      </w:r>
    </w:p>
    <w:p>
      <w:pPr>
        <w:widowControl/>
        <w:shd w:val="clear" w:color="auto" w:fill="FFFFFF"/>
        <w:spacing w:line="360" w:lineRule="exact"/>
        <w:ind w:firstLine="420"/>
        <w:jc w:val="right"/>
        <w:rPr>
          <w:rFonts w:asciiTheme="minorEastAsia" w:hAnsiTheme="minorEastAsia"/>
        </w:rPr>
      </w:pPr>
      <w:r>
        <w:rPr>
          <w:rFonts w:hint="eastAsia" w:asciiTheme="minorEastAsia" w:hAnsiTheme="minorEastAsia"/>
        </w:rPr>
        <w:t>（来源：科技日报，</w:t>
      </w:r>
      <w:r>
        <w:rPr>
          <w:rFonts w:asciiTheme="minorEastAsia" w:hAnsiTheme="minorEastAsia"/>
        </w:rPr>
        <w:t>2</w:t>
      </w:r>
      <w:r>
        <w:rPr>
          <w:rFonts w:hint="eastAsia" w:asciiTheme="minorEastAsia" w:hAnsiTheme="minorEastAsia"/>
        </w:rPr>
        <w:t>016年02月23日）</w:t>
      </w:r>
    </w:p>
    <w:p>
      <w:pPr>
        <w:widowControl/>
        <w:shd w:val="clear" w:color="auto" w:fill="FFFFFF"/>
        <w:spacing w:line="360" w:lineRule="exact"/>
        <w:jc w:val="right"/>
      </w:pPr>
    </w:p>
    <w:p>
      <w:pPr>
        <w:pStyle w:val="11"/>
      </w:pPr>
      <w:bookmarkStart w:id="4" w:name="_Toc447725193"/>
      <w:r>
        <w:rPr>
          <w:rFonts w:hint="eastAsia"/>
        </w:rPr>
        <w:t>支持科技成果</w:t>
      </w:r>
      <w:r>
        <w:t>转移转化政策措施确定</w:t>
      </w:r>
      <w:bookmarkEnd w:id="4"/>
    </w:p>
    <w:p>
      <w:pPr>
        <w:spacing w:line="360" w:lineRule="exact"/>
        <w:ind w:firstLine="420"/>
      </w:pPr>
      <w:r>
        <w:rPr>
          <w:rFonts w:hint="eastAsia"/>
        </w:rPr>
        <w:t>国务院总理李克强2月17日主持召开国务院常务会议，听取2015年全国两会建议提案办理工作汇报，汇聚众智提高公共决策水平；确定支持科技成果转移转化的政策措施，促进科技与经济深度融合。会议确定，鼓励国家设立的研究开发机构、高等院校通过转让、许可或作价投资等方式，向企业或其他组织转移科技成果，并享受以下政策，以调动创新主体积极性。一是自主决定转移其持有的科技成果，原则上不需审批或备案。鼓励优先向中小微企业转移成果。支持设立专业化技术转移机构。二是成果转移收入全部留归单位，主要用于奖励科技人员和开展科研、成果转化等工作。科技成果转移和交易价格要按程序公示。三是通过转让或许可取得的净收入及作价投资获得的股份或出资比例，应提取不低于50%用于奖励，对研发和成果转化作出主要贡献人员的奖励份额不低于奖励总额的50%。科技人员在成果转化中开展技术开发与服务等活动，可依法依规获得奖励。在履行尽职义务前提下，免除事业单位领导在科技成果定价中因成果转化后续价值变化产生的决策责任。四是科技人员可以按照规定在完成本职工作的情况下到企业兼职从事科技成果转化活动，或在3年内保留人事关系离岗创业，开展成果转化。离岗创业期间，科技人员承担的国家科技计划和基金项目原则上不得中止。鼓励企业采取股权奖励、股票期权、项目收益分红等方式，激励科技人员实施成果转化。五是将科技成果转化情况纳入研发机构和高校绩效考评，加快向全国推广国家自主创新示范区试点税收优惠政策，探索完善支持单位和个人科技成果转化的财税措施。更好发挥科技创新对稳增长、调结构、惠民生的支撑和促进作用。</w:t>
      </w:r>
    </w:p>
    <w:p>
      <w:pPr>
        <w:spacing w:line="360" w:lineRule="exact"/>
        <w:ind w:firstLine="420"/>
        <w:jc w:val="right"/>
      </w:pPr>
      <w:r>
        <w:rPr>
          <w:rFonts w:hint="eastAsia"/>
        </w:rPr>
        <w:t>（来源：科技</w:t>
      </w:r>
      <w:r>
        <w:t>日报，</w:t>
      </w:r>
      <w:r>
        <w:rPr>
          <w:rFonts w:hint="eastAsia"/>
        </w:rPr>
        <w:t>2016年02月18日）</w:t>
      </w:r>
    </w:p>
    <w:p>
      <w:pPr>
        <w:pStyle w:val="11"/>
      </w:pPr>
      <w:bookmarkStart w:id="5" w:name="_Toc447725194"/>
      <w:r>
        <w:rPr>
          <w:rFonts w:hint="eastAsia"/>
        </w:rPr>
        <w:t>《中华人民共和国促进科技成果转化法》若干规定印发</w:t>
      </w:r>
      <w:bookmarkEnd w:id="5"/>
    </w:p>
    <w:p>
      <w:pPr>
        <w:rPr>
          <w:rFonts w:ascii="宋体" w:hAnsi="宋体" w:eastAsia="宋体" w:cs="Times New Roman"/>
          <w:szCs w:val="21"/>
        </w:rPr>
      </w:pPr>
      <w:r>
        <w:rPr>
          <w:color w:val="000000"/>
          <w:shd w:val="clear" w:color="auto" w:fill="FFFFFF"/>
        </w:rPr>
        <w:tab/>
      </w:r>
      <w:r>
        <w:rPr>
          <w:rFonts w:hint="eastAsia"/>
          <w:color w:val="000000"/>
          <w:shd w:val="clear" w:color="auto" w:fill="FFFFFF"/>
        </w:rPr>
        <w:t>为加快实施创新驱动发展战略，落实《中华人民共和国促进科技成果转化法》，打通科技与经济结合的通道，促进大众创业、万众创新，鼓励研究开发机构、高等院校、企业等创新主体及科技人员转移转化科技成果，推进经济提质增效升级，</w:t>
      </w:r>
      <w:r>
        <w:rPr>
          <w:rFonts w:hint="eastAsia"/>
          <w:color w:val="000000"/>
          <w:shd w:val="clear" w:color="auto" w:fill="FFFFFF"/>
          <w:lang w:eastAsia="zh-CN"/>
        </w:rPr>
        <w:t>国务院</w:t>
      </w:r>
      <w:bookmarkStart w:id="8" w:name="_GoBack"/>
      <w:bookmarkEnd w:id="8"/>
      <w:r>
        <w:rPr>
          <w:rFonts w:hint="eastAsia"/>
          <w:color w:val="000000"/>
          <w:shd w:val="clear" w:color="auto" w:fill="FFFFFF"/>
        </w:rPr>
        <w:t>作出促进研究开发机构、高等院校技术转移、激励科技人员创新创业，营造科技成果转移转化良好环境相关方面规定。其中，国家鼓励以科技成果作价入股方式投资的中小企业充分利用资本市场做大做强，国务院财政、科技行政主管部门要研究制定国家设立的研究开发机构、高等院校以技术入股形成的国有股在企业上市时豁免向全国社会保障基金转持的有关政策。鼓励研究开发机构、高等院校在不增加编制的前提下建设专业化技术转移机构。另外，</w:t>
      </w:r>
      <w:r>
        <w:rPr>
          <w:rFonts w:hint="eastAsia" w:ascii="宋体" w:hAnsi="宋体" w:eastAsia="宋体" w:cs="Times New Roman"/>
          <w:szCs w:val="21"/>
        </w:rPr>
        <w:t>国家设立的研究开发机构、高等院校科技人员在履行岗位职责、完成本职工作的前提下，经征得单位同意，可以兼职到企业等从事科技成果转化活动，或者离岗创业，在原则上不超过3年时间内保留人事关系，从事科技成果转化活动。</w:t>
      </w:r>
    </w:p>
    <w:p>
      <w:pPr>
        <w:jc w:val="right"/>
        <w:rPr>
          <w:color w:val="000000"/>
          <w:shd w:val="clear" w:color="auto" w:fill="FFFFFF"/>
        </w:rPr>
      </w:pPr>
      <w:r>
        <w:rPr>
          <w:rFonts w:hint="eastAsia" w:ascii="宋体" w:hAnsi="宋体" w:eastAsia="宋体" w:cs="Times New Roman"/>
          <w:szCs w:val="21"/>
        </w:rPr>
        <w:t>（来源</w:t>
      </w:r>
      <w:r>
        <w:rPr>
          <w:rFonts w:ascii="宋体" w:hAnsi="宋体" w:eastAsia="宋体" w:cs="Times New Roman"/>
          <w:szCs w:val="21"/>
        </w:rPr>
        <w:t>：</w:t>
      </w:r>
      <w:r>
        <w:rPr>
          <w:rFonts w:hint="eastAsia" w:ascii="宋体" w:hAnsi="宋体" w:eastAsia="宋体" w:cs="Times New Roman"/>
          <w:szCs w:val="21"/>
        </w:rPr>
        <w:t>科技日报，201</w:t>
      </w:r>
      <w:r>
        <w:rPr>
          <w:rFonts w:ascii="宋体" w:hAnsi="宋体" w:eastAsia="宋体" w:cs="Times New Roman"/>
          <w:szCs w:val="21"/>
        </w:rPr>
        <w:t>6</w:t>
      </w:r>
      <w:r>
        <w:rPr>
          <w:rFonts w:hint="eastAsia" w:ascii="宋体" w:hAnsi="宋体" w:eastAsia="宋体" w:cs="Times New Roman"/>
          <w:szCs w:val="21"/>
        </w:rPr>
        <w:t>年03月03日）</w:t>
      </w:r>
    </w:p>
    <w:p>
      <w:pPr>
        <w:pStyle w:val="11"/>
      </w:pPr>
      <w:bookmarkStart w:id="6" w:name="_Toc447725195"/>
      <w:r>
        <w:rPr>
          <w:rFonts w:hint="eastAsia"/>
        </w:rPr>
        <w:t>科技部发布重点科技成果转化推广信息</w:t>
      </w:r>
      <w:bookmarkEnd w:id="6"/>
    </w:p>
    <w:p>
      <w:pPr>
        <w:spacing w:line="360" w:lineRule="exact"/>
        <w:ind w:firstLine="420"/>
      </w:pPr>
      <w:r>
        <w:rPr>
          <w:rFonts w:hint="eastAsia"/>
        </w:rPr>
        <w:t>为加快实施国家创新驱动发展战略，促进科技成果转移转化，科技部会同相关部门以国家财政科技计划产生的科技成果为重点，陆续汇总发布并定期更新一批符合产业转型升级方向、投资规模与产业带动作用大的先进适用科技成果。此次发布的科技成果主要来源于近年来国家863计划、973计划、国家自然科学基金、国家科技支撑计划、国家科技重大专项、科技型中小企业技术创新基金等科技计划的项目成果，涉及新一代信息、能源、现代农业、高端装备与先进制造、城镇化、海洋、资源节约与生态修复、人口健康、新材料、高新技术服务业等重点技术领域的近500项技术成果。同时，围绕大气污染防治、节水治污水生态修复、节能减排与低碳、海水淡化与综合利用、农业废弃物综合利用等分专题发布一批成果包，为重点领域需求提供技术支撑。</w:t>
      </w:r>
    </w:p>
    <w:p>
      <w:pPr>
        <w:spacing w:line="360" w:lineRule="exact"/>
        <w:jc w:val="right"/>
      </w:pPr>
      <w:r>
        <w:rPr>
          <w:rFonts w:hint="eastAsia"/>
        </w:rPr>
        <w:t>（来源：科技日报，2016年03月05日）</w:t>
      </w:r>
    </w:p>
    <w:p>
      <w:pPr>
        <w:pStyle w:val="11"/>
      </w:pPr>
      <w:bookmarkStart w:id="7" w:name="_Toc447725196"/>
      <w:r>
        <w:rPr>
          <w:rFonts w:hint="eastAsia"/>
        </w:rPr>
        <w:t>国务院三大举措建设新型创业创新平台</w:t>
      </w:r>
      <w:bookmarkEnd w:id="7"/>
    </w:p>
    <w:p>
      <w:pPr>
        <w:spacing w:line="360" w:lineRule="exact"/>
        <w:jc w:val="left"/>
      </w:pPr>
      <w:r>
        <w:tab/>
      </w:r>
      <w:r>
        <w:rPr>
          <w:rFonts w:hint="eastAsia"/>
        </w:rPr>
        <w:t>国务院总理李克强2月3日主持召开国务院常务会议，部署建设双创基地发展众创空间，加快培育新动能。会议指出，建设新型创业创新平台，为更好实施创新驱动发展战略、推进大众创业万众创新提供低成本、全方位、专业化服务，可以更大释放全社会创业创新活力，增强实体经济发展新动能，增加就业岗位，为化解过剩产能创造条件。为此，一要依托国家自主创新示范区、高新技术产业开发区等，试点建设一批国家级创新平台，推动各地发展各具特色的双创基地，选择电子信息、高端装备制造、现代农业等重点领域，通过龙头企业、中小微企业、科研院所、高校、创客等多方协同，打造产学研用贯通的众创空间，促进制造业增效升级和现代服务业发展。二要加大政策扶持，鼓励将闲置厂房、仓库等改造为双创基地和众创空间，对办公用房、水电、网络等设施给予补助。引导和鼓励天使投资、创投基金等入驻双创基地和众创空间，选择金融机构试点开展投贷联动融资服务。三要落实研发仪器设备加速折旧、研发费用加计扣除等税收优惠，改革完善创新成果收益分配制度，支持科技人员到双创基地和众创空间创新创业，对其创业项目知识产权申请、成果转化和推广应用给予政策扶持。</w:t>
      </w:r>
    </w:p>
    <w:p>
      <w:pPr>
        <w:spacing w:line="360" w:lineRule="exact"/>
        <w:jc w:val="right"/>
      </w:pPr>
      <w:r>
        <w:rPr>
          <w:rFonts w:hint="eastAsia"/>
        </w:rPr>
        <w:t>（来源：科技日报，2016年02月04日）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B9"/>
    <w:rsid w:val="000113C5"/>
    <w:rsid w:val="00030010"/>
    <w:rsid w:val="00031B3E"/>
    <w:rsid w:val="00041A3D"/>
    <w:rsid w:val="0005603D"/>
    <w:rsid w:val="00070F77"/>
    <w:rsid w:val="00076551"/>
    <w:rsid w:val="00082678"/>
    <w:rsid w:val="00087C49"/>
    <w:rsid w:val="000A6EB5"/>
    <w:rsid w:val="000B31CD"/>
    <w:rsid w:val="000C27F5"/>
    <w:rsid w:val="000C644C"/>
    <w:rsid w:val="000D11AE"/>
    <w:rsid w:val="000D5B48"/>
    <w:rsid w:val="000D743A"/>
    <w:rsid w:val="000E5E28"/>
    <w:rsid w:val="001009F6"/>
    <w:rsid w:val="0010175D"/>
    <w:rsid w:val="00103C7C"/>
    <w:rsid w:val="0011264A"/>
    <w:rsid w:val="001132B9"/>
    <w:rsid w:val="00115620"/>
    <w:rsid w:val="00117C2A"/>
    <w:rsid w:val="00123B82"/>
    <w:rsid w:val="00130E84"/>
    <w:rsid w:val="001456D5"/>
    <w:rsid w:val="00146444"/>
    <w:rsid w:val="001524A4"/>
    <w:rsid w:val="0015597C"/>
    <w:rsid w:val="001638E7"/>
    <w:rsid w:val="00171F24"/>
    <w:rsid w:val="0017307A"/>
    <w:rsid w:val="00176EF8"/>
    <w:rsid w:val="00185174"/>
    <w:rsid w:val="00190CCF"/>
    <w:rsid w:val="00191CA8"/>
    <w:rsid w:val="00194088"/>
    <w:rsid w:val="00196F6A"/>
    <w:rsid w:val="001D292A"/>
    <w:rsid w:val="001D57E7"/>
    <w:rsid w:val="001E2552"/>
    <w:rsid w:val="001E42D2"/>
    <w:rsid w:val="00201597"/>
    <w:rsid w:val="0020545F"/>
    <w:rsid w:val="002106B1"/>
    <w:rsid w:val="0022334D"/>
    <w:rsid w:val="00230455"/>
    <w:rsid w:val="00234029"/>
    <w:rsid w:val="002340A9"/>
    <w:rsid w:val="002619D3"/>
    <w:rsid w:val="00264F53"/>
    <w:rsid w:val="002651E4"/>
    <w:rsid w:val="002A0E67"/>
    <w:rsid w:val="002B1FCF"/>
    <w:rsid w:val="002C63A6"/>
    <w:rsid w:val="002C7D96"/>
    <w:rsid w:val="003037A0"/>
    <w:rsid w:val="003069C4"/>
    <w:rsid w:val="00313636"/>
    <w:rsid w:val="00313FA1"/>
    <w:rsid w:val="00314CAB"/>
    <w:rsid w:val="003371BD"/>
    <w:rsid w:val="00337ABE"/>
    <w:rsid w:val="00341643"/>
    <w:rsid w:val="00344B3C"/>
    <w:rsid w:val="003456D8"/>
    <w:rsid w:val="003465EC"/>
    <w:rsid w:val="00364D28"/>
    <w:rsid w:val="00376EAB"/>
    <w:rsid w:val="003803A5"/>
    <w:rsid w:val="0039405D"/>
    <w:rsid w:val="003A159D"/>
    <w:rsid w:val="003A3DB1"/>
    <w:rsid w:val="003C6331"/>
    <w:rsid w:val="003E75DB"/>
    <w:rsid w:val="003F257B"/>
    <w:rsid w:val="003F5795"/>
    <w:rsid w:val="00411F7D"/>
    <w:rsid w:val="00416F59"/>
    <w:rsid w:val="0044022A"/>
    <w:rsid w:val="004420E7"/>
    <w:rsid w:val="00456067"/>
    <w:rsid w:val="004571D4"/>
    <w:rsid w:val="00464CE4"/>
    <w:rsid w:val="004716D5"/>
    <w:rsid w:val="0047779E"/>
    <w:rsid w:val="00484F1A"/>
    <w:rsid w:val="00492E97"/>
    <w:rsid w:val="00495055"/>
    <w:rsid w:val="004A1722"/>
    <w:rsid w:val="004B372C"/>
    <w:rsid w:val="004B4A4B"/>
    <w:rsid w:val="004C2398"/>
    <w:rsid w:val="004C3C66"/>
    <w:rsid w:val="004D1AD2"/>
    <w:rsid w:val="004E799B"/>
    <w:rsid w:val="004F21FA"/>
    <w:rsid w:val="00510B88"/>
    <w:rsid w:val="005202A0"/>
    <w:rsid w:val="00524E31"/>
    <w:rsid w:val="00527541"/>
    <w:rsid w:val="005322A0"/>
    <w:rsid w:val="00533C47"/>
    <w:rsid w:val="00534667"/>
    <w:rsid w:val="00544173"/>
    <w:rsid w:val="005629FA"/>
    <w:rsid w:val="00571408"/>
    <w:rsid w:val="00572753"/>
    <w:rsid w:val="00574CF7"/>
    <w:rsid w:val="00584632"/>
    <w:rsid w:val="00587E3F"/>
    <w:rsid w:val="00592DF7"/>
    <w:rsid w:val="005A5A20"/>
    <w:rsid w:val="005A5FC3"/>
    <w:rsid w:val="005E2B62"/>
    <w:rsid w:val="005E3F7C"/>
    <w:rsid w:val="005E439B"/>
    <w:rsid w:val="00610A7C"/>
    <w:rsid w:val="00627AAE"/>
    <w:rsid w:val="0063740D"/>
    <w:rsid w:val="00637F46"/>
    <w:rsid w:val="00641F44"/>
    <w:rsid w:val="00647310"/>
    <w:rsid w:val="00653EF8"/>
    <w:rsid w:val="0066068D"/>
    <w:rsid w:val="006779F9"/>
    <w:rsid w:val="0068616E"/>
    <w:rsid w:val="00696C7F"/>
    <w:rsid w:val="006A357E"/>
    <w:rsid w:val="006A3DFC"/>
    <w:rsid w:val="006A42E2"/>
    <w:rsid w:val="006A6712"/>
    <w:rsid w:val="006B5AF0"/>
    <w:rsid w:val="006C2F33"/>
    <w:rsid w:val="006F63E6"/>
    <w:rsid w:val="00712832"/>
    <w:rsid w:val="00725877"/>
    <w:rsid w:val="007412EF"/>
    <w:rsid w:val="0076742C"/>
    <w:rsid w:val="00790A8D"/>
    <w:rsid w:val="00794135"/>
    <w:rsid w:val="007A305F"/>
    <w:rsid w:val="007A379E"/>
    <w:rsid w:val="007A7407"/>
    <w:rsid w:val="007F1DA1"/>
    <w:rsid w:val="007F6CE7"/>
    <w:rsid w:val="00801BDD"/>
    <w:rsid w:val="0083548B"/>
    <w:rsid w:val="0084390B"/>
    <w:rsid w:val="00870820"/>
    <w:rsid w:val="00877EA1"/>
    <w:rsid w:val="008A15B8"/>
    <w:rsid w:val="008C0252"/>
    <w:rsid w:val="008C0DBF"/>
    <w:rsid w:val="008C11E5"/>
    <w:rsid w:val="008D31B6"/>
    <w:rsid w:val="008E593B"/>
    <w:rsid w:val="00922921"/>
    <w:rsid w:val="00932C07"/>
    <w:rsid w:val="009340D6"/>
    <w:rsid w:val="00942321"/>
    <w:rsid w:val="00975D03"/>
    <w:rsid w:val="009869CE"/>
    <w:rsid w:val="009D5C3F"/>
    <w:rsid w:val="009E15E5"/>
    <w:rsid w:val="009E5C5B"/>
    <w:rsid w:val="00A15724"/>
    <w:rsid w:val="00A321EC"/>
    <w:rsid w:val="00A37031"/>
    <w:rsid w:val="00A37885"/>
    <w:rsid w:val="00A7145F"/>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26B4"/>
    <w:rsid w:val="00B44DD1"/>
    <w:rsid w:val="00B50E29"/>
    <w:rsid w:val="00B573E8"/>
    <w:rsid w:val="00B609E8"/>
    <w:rsid w:val="00B63DDE"/>
    <w:rsid w:val="00B656C2"/>
    <w:rsid w:val="00B657D1"/>
    <w:rsid w:val="00B76DDB"/>
    <w:rsid w:val="00B820CD"/>
    <w:rsid w:val="00B858FC"/>
    <w:rsid w:val="00B96A25"/>
    <w:rsid w:val="00B96D76"/>
    <w:rsid w:val="00B970D8"/>
    <w:rsid w:val="00B97296"/>
    <w:rsid w:val="00B97E6D"/>
    <w:rsid w:val="00BD0CBA"/>
    <w:rsid w:val="00C014B3"/>
    <w:rsid w:val="00C03F84"/>
    <w:rsid w:val="00C12012"/>
    <w:rsid w:val="00C37BBD"/>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C133D"/>
    <w:rsid w:val="00CC18AB"/>
    <w:rsid w:val="00CD5945"/>
    <w:rsid w:val="00CF660F"/>
    <w:rsid w:val="00D03A7A"/>
    <w:rsid w:val="00D0540D"/>
    <w:rsid w:val="00D10342"/>
    <w:rsid w:val="00D20506"/>
    <w:rsid w:val="00D21F95"/>
    <w:rsid w:val="00D27F07"/>
    <w:rsid w:val="00D42B8D"/>
    <w:rsid w:val="00D43678"/>
    <w:rsid w:val="00D609A2"/>
    <w:rsid w:val="00D745AE"/>
    <w:rsid w:val="00D904B1"/>
    <w:rsid w:val="00D962B0"/>
    <w:rsid w:val="00DA35E7"/>
    <w:rsid w:val="00DB2AE9"/>
    <w:rsid w:val="00DB3EF9"/>
    <w:rsid w:val="00DB50F1"/>
    <w:rsid w:val="00DC172F"/>
    <w:rsid w:val="00DC31A2"/>
    <w:rsid w:val="00DC3291"/>
    <w:rsid w:val="00DD0C8D"/>
    <w:rsid w:val="00DE2930"/>
    <w:rsid w:val="00DE3F4D"/>
    <w:rsid w:val="00DF0C4D"/>
    <w:rsid w:val="00E13766"/>
    <w:rsid w:val="00E1485A"/>
    <w:rsid w:val="00E231F3"/>
    <w:rsid w:val="00E23919"/>
    <w:rsid w:val="00E81973"/>
    <w:rsid w:val="00E90CF6"/>
    <w:rsid w:val="00E91B15"/>
    <w:rsid w:val="00EA1A73"/>
    <w:rsid w:val="00EA250C"/>
    <w:rsid w:val="00EA3398"/>
    <w:rsid w:val="00EA741A"/>
    <w:rsid w:val="00EE54B5"/>
    <w:rsid w:val="00EF01B0"/>
    <w:rsid w:val="00F14732"/>
    <w:rsid w:val="00F153A1"/>
    <w:rsid w:val="00F16FB5"/>
    <w:rsid w:val="00F1754A"/>
    <w:rsid w:val="00F17AB6"/>
    <w:rsid w:val="00F2274A"/>
    <w:rsid w:val="00F35C50"/>
    <w:rsid w:val="00F52112"/>
    <w:rsid w:val="00F71EFD"/>
    <w:rsid w:val="00F72439"/>
    <w:rsid w:val="00F74ABA"/>
    <w:rsid w:val="00F750DA"/>
    <w:rsid w:val="00F85FAE"/>
    <w:rsid w:val="00F9027B"/>
    <w:rsid w:val="00F90695"/>
    <w:rsid w:val="00F94CD2"/>
    <w:rsid w:val="00FC15FF"/>
    <w:rsid w:val="00FE2C51"/>
    <w:rsid w:val="00FF1FE1"/>
    <w:rsid w:val="00FF4AD9"/>
    <w:rsid w:val="19481809"/>
    <w:rsid w:val="41F65EC6"/>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7"/>
    <w:unhideWhenUsed/>
    <w:qFormat/>
    <w:uiPriority w:val="9"/>
    <w:pPr>
      <w:keepNext/>
      <w:keepLines/>
      <w:spacing w:before="260" w:after="260" w:line="416" w:lineRule="auto"/>
      <w:outlineLvl w:val="2"/>
    </w:pPr>
    <w:rPr>
      <w:b/>
      <w:bCs/>
      <w:sz w:val="32"/>
      <w:szCs w:val="32"/>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4"/>
    <w:unhideWhenUsed/>
    <w:qFormat/>
    <w:uiPriority w:val="99"/>
    <w:rPr>
      <w:b/>
      <w:bCs/>
    </w:rPr>
  </w:style>
  <w:style w:type="paragraph" w:styleId="5">
    <w:name w:val="annotation text"/>
    <w:basedOn w:val="1"/>
    <w:link w:val="23"/>
    <w:unhideWhenUsed/>
    <w:qFormat/>
    <w:uiPriority w:val="99"/>
    <w:pPr>
      <w:jc w:val="left"/>
    </w:pPr>
  </w:style>
  <w:style w:type="paragraph" w:styleId="6">
    <w:name w:val="Balloon Text"/>
    <w:basedOn w:val="1"/>
    <w:link w:val="26"/>
    <w:unhideWhenUsed/>
    <w:uiPriority w:val="99"/>
    <w:rPr>
      <w:sz w:val="18"/>
      <w:szCs w:val="18"/>
    </w:rPr>
  </w:style>
  <w:style w:type="paragraph" w:styleId="7">
    <w:name w:val="footer"/>
    <w:basedOn w:val="1"/>
    <w:link w:val="18"/>
    <w:unhideWhenUsed/>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color w:val="000000" w:themeColor="text1"/>
      <w:sz w:val="28"/>
      <w:szCs w:val="28"/>
      <w14:textFill>
        <w14:solidFill>
          <w14:schemeClr w14:val="tx1"/>
        </w14:solidFill>
      </w14:textFill>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1">
    <w:name w:val="Title"/>
    <w:basedOn w:val="1"/>
    <w:next w:val="1"/>
    <w:link w:val="21"/>
    <w:qFormat/>
    <w:uiPriority w:val="0"/>
    <w:pPr>
      <w:spacing w:before="240" w:after="60"/>
      <w:jc w:val="center"/>
      <w:outlineLvl w:val="0"/>
    </w:pPr>
    <w:rPr>
      <w:rFonts w:ascii="Cambria" w:hAnsi="Cambria" w:eastAsia="黑体" w:cs="Times New Roman"/>
      <w:b/>
      <w:bCs/>
      <w:sz w:val="28"/>
      <w:szCs w:val="32"/>
    </w:rPr>
  </w:style>
  <w:style w:type="character" w:styleId="13">
    <w:name w:val="Strong"/>
    <w:basedOn w:val="12"/>
    <w:qFormat/>
    <w:uiPriority w:val="22"/>
    <w:rPr>
      <w:b/>
      <w:bCs/>
    </w:rPr>
  </w:style>
  <w:style w:type="character" w:styleId="14">
    <w:name w:val="Hyperlink"/>
    <w:basedOn w:val="12"/>
    <w:unhideWhenUsed/>
    <w:qFormat/>
    <w:uiPriority w:val="99"/>
    <w:rPr>
      <w:color w:val="0563C1" w:themeColor="hyperlink"/>
      <w:u w:val="single"/>
      <w14:textFill>
        <w14:solidFill>
          <w14:schemeClr w14:val="hlink"/>
        </w14:solidFill>
      </w14:textFill>
    </w:rPr>
  </w:style>
  <w:style w:type="character" w:styleId="15">
    <w:name w:val="annotation reference"/>
    <w:basedOn w:val="12"/>
    <w:unhideWhenUsed/>
    <w:qFormat/>
    <w:uiPriority w:val="99"/>
    <w:rPr>
      <w:sz w:val="21"/>
      <w:szCs w:val="21"/>
    </w:rPr>
  </w:style>
  <w:style w:type="character" w:customStyle="1" w:styleId="17">
    <w:name w:val="页眉 Char"/>
    <w:basedOn w:val="12"/>
    <w:link w:val="8"/>
    <w:qFormat/>
    <w:uiPriority w:val="99"/>
    <w:rPr>
      <w:sz w:val="18"/>
      <w:szCs w:val="18"/>
    </w:rPr>
  </w:style>
  <w:style w:type="character" w:customStyle="1" w:styleId="18">
    <w:name w:val="页脚 Char"/>
    <w:basedOn w:val="12"/>
    <w:link w:val="7"/>
    <w:qFormat/>
    <w:uiPriority w:val="99"/>
    <w:rPr>
      <w:sz w:val="18"/>
      <w:szCs w:val="18"/>
    </w:rPr>
  </w:style>
  <w:style w:type="character" w:customStyle="1" w:styleId="19">
    <w:name w:val="标题 1 Char"/>
    <w:basedOn w:val="12"/>
    <w:link w:val="2"/>
    <w:qFormat/>
    <w:uiPriority w:val="9"/>
    <w:rPr>
      <w:b/>
      <w:bCs/>
      <w:kern w:val="44"/>
      <w:sz w:val="44"/>
      <w:szCs w:val="44"/>
    </w:rPr>
  </w:style>
  <w:style w:type="paragraph" w:customStyle="1" w:styleId="20">
    <w:name w:val="TOC Heading"/>
    <w:basedOn w:val="2"/>
    <w:next w:val="1"/>
    <w:unhideWhenUsed/>
    <w:qFormat/>
    <w:uiPriority w:val="39"/>
    <w:pPr>
      <w:outlineLvl w:val="9"/>
    </w:pPr>
    <w:rPr>
      <w:rFonts w:ascii="Calibri" w:hAnsi="Calibri" w:eastAsia="宋体" w:cs="Times New Roman"/>
    </w:rPr>
  </w:style>
  <w:style w:type="character" w:customStyle="1" w:styleId="21">
    <w:name w:val="标题 Char"/>
    <w:basedOn w:val="12"/>
    <w:link w:val="11"/>
    <w:qFormat/>
    <w:uiPriority w:val="0"/>
    <w:rPr>
      <w:rFonts w:ascii="Cambria" w:hAnsi="Cambria" w:eastAsia="黑体" w:cs="Times New Roman"/>
      <w:b/>
      <w:bCs/>
      <w:sz w:val="28"/>
      <w:szCs w:val="32"/>
    </w:rPr>
  </w:style>
  <w:style w:type="paragraph" w:customStyle="1" w:styleId="22">
    <w:name w:val="List Paragraph"/>
    <w:basedOn w:val="1"/>
    <w:qFormat/>
    <w:uiPriority w:val="34"/>
    <w:pPr>
      <w:ind w:firstLine="420" w:firstLineChars="200"/>
    </w:pPr>
  </w:style>
  <w:style w:type="character" w:customStyle="1" w:styleId="23">
    <w:name w:val="批注文字 Char"/>
    <w:basedOn w:val="12"/>
    <w:link w:val="5"/>
    <w:semiHidden/>
    <w:qFormat/>
    <w:uiPriority w:val="99"/>
  </w:style>
  <w:style w:type="character" w:customStyle="1" w:styleId="24">
    <w:name w:val="批注主题 Char"/>
    <w:basedOn w:val="23"/>
    <w:link w:val="4"/>
    <w:semiHidden/>
    <w:qFormat/>
    <w:uiPriority w:val="99"/>
    <w:rPr>
      <w:b/>
      <w:bCs/>
    </w:rPr>
  </w:style>
  <w:style w:type="paragraph" w:customStyle="1" w:styleId="25">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6">
    <w:name w:val="批注框文本 Char"/>
    <w:basedOn w:val="12"/>
    <w:link w:val="6"/>
    <w:semiHidden/>
    <w:qFormat/>
    <w:uiPriority w:val="99"/>
    <w:rPr>
      <w:sz w:val="18"/>
      <w:szCs w:val="18"/>
    </w:rPr>
  </w:style>
  <w:style w:type="character" w:customStyle="1" w:styleId="27">
    <w:name w:val="标题 3 Char"/>
    <w:basedOn w:val="12"/>
    <w:link w:val="3"/>
    <w:semiHidden/>
    <w:qFormat/>
    <w:uiPriority w:val="9"/>
    <w:rPr>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5D38F-D154-4702-8D2F-ED4F8F497EAB}">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Pages>
  <Words>752</Words>
  <Characters>4289</Characters>
  <Lines>35</Lines>
  <Paragraphs>10</Paragraphs>
  <ScaleCrop>false</ScaleCrop>
  <LinksUpToDate>false</LinksUpToDate>
  <CharactersWithSpaces>5031</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2016-04-06T08:40:00Z</dcterms:created>
  <dc:creator>Cai Wanying</dc:creator>
  <cp:lastModifiedBy>Administrator</cp:lastModifiedBy>
  <dcterms:modified xsi:type="dcterms:W3CDTF">2016-05-16T02:01:42Z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